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78E" w14:textId="397BD767" w:rsidR="00F3158E" w:rsidRPr="00F3158E" w:rsidRDefault="00F3158E" w:rsidP="00F3158E">
      <w:pPr>
        <w:rPr>
          <w:b/>
          <w:bCs/>
        </w:rPr>
      </w:pPr>
      <w:proofErr w:type="gramStart"/>
      <w:r w:rsidRPr="00F3158E">
        <w:rPr>
          <w:b/>
          <w:bCs/>
        </w:rPr>
        <w:t>AI.grids</w:t>
      </w:r>
      <w:proofErr w:type="gramEnd"/>
      <w:r w:rsidRPr="00F3158E">
        <w:rPr>
          <w:b/>
          <w:bCs/>
        </w:rPr>
        <w:t xml:space="preserve"> </w:t>
      </w:r>
      <w:r w:rsidR="007E1436">
        <w:rPr>
          <w:b/>
          <w:bCs/>
        </w:rPr>
        <w:t>-</w:t>
      </w:r>
      <w:r w:rsidRPr="00F3158E">
        <w:rPr>
          <w:b/>
          <w:bCs/>
        </w:rPr>
        <w:t xml:space="preserve"> az európai energiahálózatok digitális jövője</w:t>
      </w:r>
    </w:p>
    <w:p w14:paraId="7A4CA81E" w14:textId="77777777" w:rsidR="00F3158E" w:rsidRPr="00F3158E" w:rsidRDefault="00F3158E" w:rsidP="00F3158E">
      <w:pPr>
        <w:rPr>
          <w:b/>
          <w:bCs/>
        </w:rPr>
      </w:pPr>
      <w:r w:rsidRPr="00F3158E">
        <w:rPr>
          <w:b/>
          <w:bCs/>
        </w:rPr>
        <w:t>A kezdeményezés lényege</w:t>
      </w:r>
    </w:p>
    <w:p w14:paraId="69DA7651" w14:textId="3AE7BFDA" w:rsidR="00F3158E" w:rsidRPr="00F3158E" w:rsidRDefault="004819D4" w:rsidP="00F3158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3A1AF1" wp14:editId="6748E16A">
            <wp:simplePos x="0" y="0"/>
            <wp:positionH relativeFrom="margin">
              <wp:align>left</wp:align>
            </wp:positionH>
            <wp:positionV relativeFrom="paragraph">
              <wp:posOffset>1500505</wp:posOffset>
            </wp:positionV>
            <wp:extent cx="5715000" cy="3810000"/>
            <wp:effectExtent l="0" t="0" r="0" b="0"/>
            <wp:wrapTopAndBottom/>
            <wp:docPr id="112224373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58E" w:rsidRPr="00F3158E">
        <w:t xml:space="preserve">Az </w:t>
      </w:r>
      <w:proofErr w:type="gramStart"/>
      <w:r w:rsidR="00F3158E" w:rsidRPr="00F3158E">
        <w:t>AI.grids</w:t>
      </w:r>
      <w:proofErr w:type="gramEnd"/>
      <w:r w:rsidR="00F3158E" w:rsidRPr="00F3158E">
        <w:t xml:space="preserve"> azért tekinthető valóban stratégiai jelentőségű kezdeményezésnek, mert nem egy elszigetelt kutatási projektként határozza meg magát, hanem az európai energiaszektor digitalizációs és mesterségesintelligencia-irányának gyakorlati megvalósítójaként. A projektmegállapodás kimondja, hogy az </w:t>
      </w:r>
      <w:proofErr w:type="gramStart"/>
      <w:r w:rsidR="00F3158E" w:rsidRPr="00F3158E">
        <w:t>AI.grids</w:t>
      </w:r>
      <w:proofErr w:type="gramEnd"/>
      <w:r w:rsidR="00F3158E" w:rsidRPr="00F3158E">
        <w:t xml:space="preserve"> a Plan4EUAI roadmap és a 2025. december 8-i európai workshop eredményeit operacionalizálja, vagyis a politikai-szakpolitikai irányt átalakítja konkrét fejlesztési, adatkezelési, modellépítési és validációs feladatokká. Ezzel párhuzamosan az Európai Bizottság</w:t>
      </w:r>
      <w:r w:rsidR="00BC4384">
        <w:t xml:space="preserve"> által</w:t>
      </w:r>
      <w:r w:rsidR="00F3158E" w:rsidRPr="00F3158E">
        <w:t xml:space="preserve"> 2025</w:t>
      </w:r>
      <w:r w:rsidR="007E1436">
        <w:t>-ben</w:t>
      </w:r>
      <w:r w:rsidR="00BC4384">
        <w:t xml:space="preserve"> összeállított</w:t>
      </w:r>
      <w:r w:rsidR="00F3158E" w:rsidRPr="00F3158E">
        <w:t xml:space="preserve"> Affordable Energy Action Plan is külön nevesítette az energiaágazat digitalizálását és az MI alkalmazását célzó roadmapet</w:t>
      </w:r>
      <w:r w:rsidR="00F3158E">
        <w:t>.</w:t>
      </w:r>
    </w:p>
    <w:p w14:paraId="7CF9DF28" w14:textId="1505962D" w:rsidR="00F3158E" w:rsidRPr="00F3158E" w:rsidRDefault="00F3158E" w:rsidP="00F3158E">
      <w:pPr>
        <w:jc w:val="both"/>
      </w:pPr>
      <w:r w:rsidRPr="00F3158E">
        <w:t xml:space="preserve">A projekt ambíciója világos: felépíteni az első páneurópai, villamosenergia-hálózatokra szabott MI-alapmodellt, vagyis egy olyan „foundation </w:t>
      </w:r>
      <w:proofErr w:type="gramStart"/>
      <w:r w:rsidRPr="00F3158E">
        <w:t>model”</w:t>
      </w:r>
      <w:r w:rsidR="00BC4384">
        <w:t>-</w:t>
      </w:r>
      <w:proofErr w:type="gramEnd"/>
      <w:r w:rsidR="00BC4384">
        <w:t>t</w:t>
      </w:r>
      <w:r w:rsidRPr="00F3158E">
        <w:t>, amely nagyméretű, sokféle hálózati adaton tanul meg általános reprezentációkat, majd ezekre több különböző üzemeltetési és tervezési feladat finomhangolható. Ez azért fontos, mert az európai villamosenergia-rendszer gyorsan változik: nő a megújulók részaránya, sűrűsödnek a határo</w:t>
      </w:r>
      <w:r w:rsidR="00BC4384">
        <w:t>ko</w:t>
      </w:r>
      <w:r w:rsidRPr="00F3158E">
        <w:t xml:space="preserve">n átnyúló </w:t>
      </w:r>
      <w:r>
        <w:t>együttműködések</w:t>
      </w:r>
      <w:r w:rsidRPr="00F3158E">
        <w:t>, szűkülnek az üzemviteli tartalékok, és közben a rendszerirányítóknak egyre nagyobb, heterogénebb adatmennyiséggel kell dolgozniuk. A jelenlegi, feladatspecifikus és széttagolt MI-eszköztár e</w:t>
      </w:r>
      <w:r w:rsidR="00BC4384">
        <w:t>zekre a kihívásokra</w:t>
      </w:r>
      <w:r w:rsidRPr="00F3158E">
        <w:t xml:space="preserve"> csak részben ad választ; a szakirodalom szerint éppen ezért van értelme olyan, újrahasznosítható alapmodellekben gondolkodni, amelyek több hálózati feladatra is adaptálhatók.</w:t>
      </w:r>
    </w:p>
    <w:p w14:paraId="18F30AA7" w14:textId="2C6FEE2D" w:rsidR="00F3158E" w:rsidRPr="00F3158E" w:rsidRDefault="00F3158E" w:rsidP="00F3158E">
      <w:pPr>
        <w:rPr>
          <w:b/>
          <w:bCs/>
        </w:rPr>
      </w:pPr>
      <w:r w:rsidRPr="00F3158E">
        <w:rPr>
          <w:b/>
          <w:bCs/>
        </w:rPr>
        <w:t>A stratégiai cél és a szakmai program</w:t>
      </w:r>
    </w:p>
    <w:p w14:paraId="3EEC6BBB" w14:textId="1F2AE8A6" w:rsidR="00F3158E" w:rsidRPr="00F3158E" w:rsidRDefault="00F3158E" w:rsidP="00F3158E">
      <w:pPr>
        <w:jc w:val="both"/>
      </w:pPr>
      <w:r w:rsidRPr="00F3158E">
        <w:t xml:space="preserve">Az aláírt megállapodás alapján az </w:t>
      </w:r>
      <w:proofErr w:type="gramStart"/>
      <w:r w:rsidRPr="00F3158E">
        <w:t>AI.grids</w:t>
      </w:r>
      <w:proofErr w:type="gramEnd"/>
      <w:r w:rsidRPr="00F3158E">
        <w:t xml:space="preserve"> öt, jól leírható célt követ. Először: 3–4 páneurópai, gyorsan hasznosítható use case kiválasztását és formalizálását. Másodszor: olyan minimum adatkeret és kapcsolódó szintetikus benchmark-adatkészletek létrehozását, amelyek alkalmasak alapmodellek tanítására és összehasonlítható tesztelésére. Harmadszor: </w:t>
      </w:r>
      <w:r w:rsidRPr="00F3158E">
        <w:lastRenderedPageBreak/>
        <w:t>interoperábilis adat- és modellmegosztási szabályok kialakítását, beleértve a hozzáférés-szabályozást, licencelést, szuverenitási korlátokat és a compute-to-data vagy federated learning megközelítéseket. Negyedszer: egy első, minimum viable foundation model megtervezését és betanítását európai AI factory és HPC/GPU infrastruktúrákon. Ötödször: benchmarkolási és validációs eljárások kidolgozását, hogy a modell teljesítménye valós üzemeltetési szempontok mentén legyen értékelhető. A projektet három fő szakmai pillér hordozza: a use case-ekkel és validációval foglalkozó WG1, a data/governance/interoperability fókuszú WG2, valamint a modellfejlesztési és MLOps-feladatokat végző WG3.</w:t>
      </w:r>
    </w:p>
    <w:p w14:paraId="0EEDAE37" w14:textId="5518D9FA" w:rsidR="00F3158E" w:rsidRPr="00F3158E" w:rsidRDefault="00F3158E" w:rsidP="00F3158E">
      <w:pPr>
        <w:jc w:val="both"/>
      </w:pPr>
      <w:r w:rsidRPr="00F3158E">
        <w:t xml:space="preserve">A WG1 anyagai jól mutatják, hogy ez nem elméleti MI-demonstráció, hanem szigorúan üzemeltetési logika szerint felépített program. A kiválasztási kritériumok között szerepel az operatív relevancia a TSO-k és DSO-k számára, a több országban való alkalmazhatóság, a valós és szintetikus adatok elérhetősége, az első éves technikai megvalósíthatóság, az összehasonlítható benchmarkolhatóság és a vezénylőtermek sürgősségi igénye. Az első fázis kiemelt use case-ei között megjelenik az operatív </w:t>
      </w:r>
      <w:r>
        <w:t>állapotbecslés</w:t>
      </w:r>
      <w:r w:rsidRPr="00F3158E">
        <w:t xml:space="preserve">, a </w:t>
      </w:r>
      <w:r>
        <w:t>szűkület</w:t>
      </w:r>
      <w:r w:rsidRPr="00F3158E">
        <w:t xml:space="preserve">kezelést és feszültségszabályozást támogató operátori asszisztens, valamint a hálózatfejlesztési és hosting-capacity értékelési feladatok. Ezekhez upstream és downstream irányból olyan kapcsolódó problémák társulnak, mint az elosztóhálózati rekonstrukció vagy a terhelési görbék MI-alapú elemzése. Röviden: az </w:t>
      </w:r>
      <w:proofErr w:type="gramStart"/>
      <w:r w:rsidRPr="00F3158E">
        <w:t>AI.grids</w:t>
      </w:r>
      <w:proofErr w:type="gramEnd"/>
      <w:r w:rsidRPr="00F3158E">
        <w:t xml:space="preserve"> nem „MI az MI kedvéért”, hanem olyan közös európai eszközalapot akar létrehozni, amely a hálózatüzemeltetés legégetőbb problémáit célozza.</w:t>
      </w:r>
    </w:p>
    <w:p w14:paraId="4F41402F" w14:textId="1014D77A" w:rsidR="00F3158E" w:rsidRPr="00F3158E" w:rsidRDefault="00F3158E" w:rsidP="00F3158E">
      <w:pPr>
        <w:rPr>
          <w:b/>
          <w:bCs/>
        </w:rPr>
      </w:pPr>
      <w:r w:rsidRPr="00F3158E">
        <w:rPr>
          <w:b/>
          <w:bCs/>
        </w:rPr>
        <w:t>Miért volt fordulópont az aláírási ceremónia</w:t>
      </w:r>
    </w:p>
    <w:p w14:paraId="15481A80" w14:textId="24E69F67" w:rsidR="00F3158E" w:rsidRPr="00F3158E" w:rsidRDefault="004819D4" w:rsidP="00F3158E">
      <w:pPr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FF3D8B" wp14:editId="5BAB2A6E">
            <wp:simplePos x="0" y="0"/>
            <wp:positionH relativeFrom="margin">
              <wp:posOffset>60960</wp:posOffset>
            </wp:positionH>
            <wp:positionV relativeFrom="paragraph">
              <wp:posOffset>1094105</wp:posOffset>
            </wp:positionV>
            <wp:extent cx="5715000" cy="3810000"/>
            <wp:effectExtent l="0" t="0" r="0" b="0"/>
            <wp:wrapTopAndBottom/>
            <wp:docPr id="308115917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58E" w:rsidRPr="00F3158E">
        <w:t xml:space="preserve">A 2026. </w:t>
      </w:r>
      <w:r w:rsidR="00F3158E">
        <w:t>június 3</w:t>
      </w:r>
      <w:r w:rsidR="00F3158E" w:rsidRPr="00F3158E">
        <w:t xml:space="preserve">-i aláírási ceremónia jelentősége abban állt, hogy a kezdeményezés ezen a ponton lépett át a workshopok, munkacsoporti viták és jogi tervezetek világából a tényleges végrehajtás szakaszába. </w:t>
      </w:r>
      <w:r w:rsidR="006B2B62">
        <w:t>F</w:t>
      </w:r>
      <w:r w:rsidR="00F3158E" w:rsidRPr="00F3158E">
        <w:t xml:space="preserve">ebruárban indult a jogi keretrendszer kialakítása, február 24-én került ki a megállapodás első, reviewra szánt draftja, március 26. és április 22. között lezajlott az első, 29 aláírást érintő kör, majd </w:t>
      </w:r>
      <w:r w:rsidR="00F3158E">
        <w:t>június 3</w:t>
      </w:r>
      <w:r w:rsidR="00F3158E" w:rsidRPr="00F3158E">
        <w:t>-</w:t>
      </w:r>
      <w:r w:rsidR="00F3158E">
        <w:t>á</w:t>
      </w:r>
      <w:r w:rsidR="00F3158E" w:rsidRPr="00F3158E">
        <w:t xml:space="preserve">n következett az ünnepélyes aláírás és a második kör. Ugyanezen időszakban véglegesedett a projektmegállapodás második változata, valamint a task- </w:t>
      </w:r>
      <w:r w:rsidR="00F3158E" w:rsidRPr="00F3158E">
        <w:lastRenderedPageBreak/>
        <w:t>és adatmegosztási sablonok is. Vagyis a ceremónia nem pusztán reprezentációs esemény volt, hanem a projekt „jogi üzembe helyezése”.</w:t>
      </w:r>
    </w:p>
    <w:p w14:paraId="0A2D68A9" w14:textId="6598447E" w:rsidR="00F3158E" w:rsidRPr="00F3158E" w:rsidRDefault="00F3158E" w:rsidP="00F3158E">
      <w:pPr>
        <w:jc w:val="both"/>
      </w:pPr>
      <w:r w:rsidRPr="00F3158E">
        <w:t xml:space="preserve">A ceremónia másik jelentősége az intézményi és kormányzási súlyban rejlik. Az </w:t>
      </w:r>
      <w:proofErr w:type="gramStart"/>
      <w:r w:rsidRPr="00F3158E">
        <w:t>AI.grids</w:t>
      </w:r>
      <w:proofErr w:type="gramEnd"/>
      <w:r w:rsidRPr="00F3158E">
        <w:t xml:space="preserve"> dokumentumai szerint az Európai Bizottság DG ENER intézményi megfigyelőként jelenik meg a projektben</w:t>
      </w:r>
      <w:r>
        <w:t xml:space="preserve"> – személyesen </w:t>
      </w:r>
      <w:r w:rsidRPr="00F3158E">
        <w:t>Dan Jørgensen, az Európai Bizottság energia- és lakásügyi biztosa</w:t>
      </w:r>
      <w:r w:rsidR="002A53DF">
        <w:t xml:space="preserve"> is aláírta</w:t>
      </w:r>
      <w:r>
        <w:t xml:space="preserve"> -</w:t>
      </w:r>
      <w:r w:rsidRPr="00F3158E">
        <w:t>, a Project Supervisory Board elnöklését pedig alapértelmezetten az Institutional Observer képviselője látja el. A projekt működését a PSB, a PMB és az egyes working groupok alkotják; a későbbi konkrét fejlesztések pedig külön task agreementek útján szervezhetők meg. Ez a felépítés egyfajta európai „közös műhelyt” teremt: a stratégiai irány nemzeti és iparági részérdekeken túl, közös szabályok mentén formálódhat. Emiatt az aláírási ceremónia valójában azt jelezte, hogy megszületett az a legitim, közösen elfogadott keret, amelyben a következő évek európai hálózati MI-fejlesztése zajlani fog.</w:t>
      </w:r>
    </w:p>
    <w:p w14:paraId="0B14CBCD" w14:textId="3B576B0D" w:rsidR="00F3158E" w:rsidRPr="00F3158E" w:rsidRDefault="00F3158E" w:rsidP="00F3158E">
      <w:pPr>
        <w:rPr>
          <w:b/>
          <w:bCs/>
        </w:rPr>
      </w:pPr>
      <w:r w:rsidRPr="00F3158E">
        <w:rPr>
          <w:b/>
          <w:bCs/>
        </w:rPr>
        <w:t>Az európai szuverenitás és versenyképesség dimenziója</w:t>
      </w:r>
    </w:p>
    <w:p w14:paraId="37DB37FD" w14:textId="16939DEB" w:rsidR="00F3158E" w:rsidRPr="00F3158E" w:rsidRDefault="00F3158E" w:rsidP="00F3158E">
      <w:pPr>
        <w:jc w:val="both"/>
      </w:pPr>
      <w:r w:rsidRPr="00F3158E">
        <w:t xml:space="preserve">A projekt különösen erős ott, ahol Európa számára a legérzékenyebb kérdések találkoznak: adat-szuverenitás, kritikus infrastruktúra-védelem, nyílt innováció, valamint az operatív használhatóság. Az </w:t>
      </w:r>
      <w:proofErr w:type="gramStart"/>
      <w:r w:rsidRPr="00F3158E">
        <w:t>AI.grids</w:t>
      </w:r>
      <w:proofErr w:type="gramEnd"/>
      <w:r w:rsidRPr="00F3158E">
        <w:t xml:space="preserve"> víziója a Common European Energy Data Space-re, az energiaipari TEF-ekre és az EuroHPC-hoz kapcsolódó AI factory ökoszisztémára támaszkodik; a cél tehát nem valamely zárt, beszállítófüggő termék létrehozása, hanem olyan európai infrastruktúra és tudásvagyon kialakítása, amelyre későbbi fejlesztések, iparági pilotok és új közös projektek is épülhetnek. A megállapodás kifejezetten lehetővé teszi a szűkített adathozzáférést, a korlátozott workspace-eket, a federált tanítást és a compute-to-data megoldásokat, miközben az eredményekre – ahol lehetséges – nyílt, szabványos licenceket ír elő. Ez egyszerre szolgálja a nyitottságot és a szuverenitást.</w:t>
      </w:r>
    </w:p>
    <w:p w14:paraId="6FFFA772" w14:textId="7B378B9F" w:rsidR="00F3158E" w:rsidRPr="00F3158E" w:rsidRDefault="00F3158E" w:rsidP="00F3158E">
      <w:pPr>
        <w:jc w:val="both"/>
      </w:pPr>
      <w:r w:rsidRPr="00F3158E">
        <w:t xml:space="preserve">Ugyanilyen fontos a biztonsági és megfelelőségi oldal. A projektfeladatok között külön trustworthiness- és governance-elemek szerepelnek; a jogi keret a GDPR-ra, a NIS/NIS2-követelményekre, az adatok korlátozott kezelésére és a későbbi szabályozási megfelelésre épül. Bár az </w:t>
      </w:r>
      <w:proofErr w:type="gramStart"/>
      <w:r w:rsidRPr="00F3158E">
        <w:t>AI.grids</w:t>
      </w:r>
      <w:proofErr w:type="gramEnd"/>
      <w:r w:rsidRPr="00F3158E">
        <w:t xml:space="preserve"> maga nem jogszabály, a működési logikája jól illeszkedik az EU AI Act azon alapelvéhez, hogy a magas kockázatú vagy kritikus környezetben alkalmazott MI-rendszerek esetében a biztonság, a dokumentáltság, az átláthatóság és az emberi felügyelet nem opcionális, hanem beépített követelmény. Éppen ezért az </w:t>
      </w:r>
      <w:proofErr w:type="gramStart"/>
      <w:r w:rsidRPr="00F3158E">
        <w:t>AI.grids</w:t>
      </w:r>
      <w:proofErr w:type="gramEnd"/>
      <w:r w:rsidRPr="00F3158E">
        <w:t xml:space="preserve"> jelentősége túlmutat a technológián: azt mutatja meg, hogyan lehet az európai energiaszektorban egyszerre versenyképes, nyitott és szabályozás-kompatibilis MI-fejlesztést szervezni.</w:t>
      </w:r>
    </w:p>
    <w:p w14:paraId="3DC7A5A5" w14:textId="0736E5FE" w:rsidR="00F3158E" w:rsidRPr="00F3158E" w:rsidRDefault="00F3158E" w:rsidP="00F3158E">
      <w:pPr>
        <w:rPr>
          <w:b/>
          <w:bCs/>
        </w:rPr>
      </w:pPr>
      <w:r w:rsidRPr="00F3158E">
        <w:rPr>
          <w:b/>
          <w:bCs/>
        </w:rPr>
        <w:t xml:space="preserve">A BME és a </w:t>
      </w:r>
      <w:r>
        <w:rPr>
          <w:b/>
          <w:bCs/>
        </w:rPr>
        <w:t>VIK</w:t>
      </w:r>
      <w:r w:rsidRPr="00F3158E">
        <w:rPr>
          <w:b/>
          <w:bCs/>
        </w:rPr>
        <w:t xml:space="preserve"> szerepe</w:t>
      </w:r>
    </w:p>
    <w:p w14:paraId="2F2A6DB4" w14:textId="3166840C" w:rsidR="00F3158E" w:rsidRPr="00F3158E" w:rsidRDefault="00F3158E" w:rsidP="00F3158E">
      <w:pPr>
        <w:jc w:val="both"/>
      </w:pPr>
      <w:r w:rsidRPr="00F3158E">
        <w:t xml:space="preserve">A Budapesti Műszaki és Gazdaságtudományi Egyetem </w:t>
      </w:r>
      <w:r>
        <w:t>alapító tagként</w:t>
      </w:r>
      <w:r w:rsidRPr="00F3158E">
        <w:t xml:space="preserve"> van jelen az </w:t>
      </w:r>
      <w:proofErr w:type="gramStart"/>
      <w:r w:rsidRPr="00F3158E">
        <w:t>AI.grids</w:t>
      </w:r>
      <w:proofErr w:type="gramEnd"/>
      <w:r w:rsidRPr="00F3158E">
        <w:t xml:space="preserve">-ben. Az aláírt megállapodás a BME-t kutatóintézeti szerepkörben, R-Party-ként sorolja fel, és kifejezetten „Key player” státuszt rendel hozzá. </w:t>
      </w:r>
      <w:r>
        <w:t>A</w:t>
      </w:r>
      <w:r w:rsidRPr="00F3158E">
        <w:t xml:space="preserve"> hivatalos képviseleti struktúrában pedig a BME képviselőjeként Vokony István jelenik meg</w:t>
      </w:r>
      <w:r>
        <w:t xml:space="preserve">, </w:t>
      </w:r>
      <w:r w:rsidR="00BC4384">
        <w:t xml:space="preserve">aki </w:t>
      </w:r>
      <w:r>
        <w:t>a BME VIK Villamos Energetika Tanszék</w:t>
      </w:r>
      <w:r w:rsidR="00BC4384">
        <w:t>ének</w:t>
      </w:r>
      <w:r>
        <w:t xml:space="preserve"> vezetője</w:t>
      </w:r>
      <w:r w:rsidRPr="00F3158E">
        <w:t xml:space="preserve">. Fontos hozzátenni, hogy a keretmegállapodás nem minden egyes technikai részfeladatot oszt </w:t>
      </w:r>
      <w:r>
        <w:t>ki</w:t>
      </w:r>
      <w:r w:rsidRPr="00F3158E">
        <w:t xml:space="preserve"> név szerint intézményi szinten; az </w:t>
      </w:r>
      <w:proofErr w:type="gramStart"/>
      <w:r w:rsidRPr="00F3158E">
        <w:t>AI.grids</w:t>
      </w:r>
      <w:proofErr w:type="gramEnd"/>
      <w:r w:rsidRPr="00F3158E">
        <w:t xml:space="preserve"> úgy épül fel, hogy számos konkrét task később, transzparens belső felhívások és külön Task Agreementek alapján szerveződik. Ez azonban nem gyengíti, hanem inkább erősíti a BME szerepét: </w:t>
      </w:r>
      <w:r w:rsidR="00C60C53">
        <w:t>az egyetem</w:t>
      </w:r>
      <w:r w:rsidRPr="00F3158E">
        <w:t xml:space="preserve"> a projekt stratégiai magjához tartozó kutatópartner.</w:t>
      </w:r>
    </w:p>
    <w:p w14:paraId="09BF662A" w14:textId="03F08F8C" w:rsidR="00F3158E" w:rsidRPr="00F3158E" w:rsidRDefault="00F3158E" w:rsidP="00F3158E">
      <w:pPr>
        <w:jc w:val="both"/>
      </w:pPr>
      <w:r w:rsidRPr="00F3158E">
        <w:t xml:space="preserve">A BME Villamos Energetika Tanszéke ennek a részvételnek a természetes szakmai bázisa. </w:t>
      </w:r>
      <w:r>
        <w:t>A</w:t>
      </w:r>
      <w:r w:rsidRPr="00F3158E">
        <w:t xml:space="preserve"> tanszék aktív nemzetközi szakmai jelenléttel bír: 2026 májusában képviseltette magát az IEEE </w:t>
      </w:r>
      <w:r w:rsidR="004819D4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13910CF" wp14:editId="13AC696C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2895600" cy="4343400"/>
            <wp:effectExtent l="0" t="0" r="0" b="0"/>
            <wp:wrapTight wrapText="bothSides">
              <wp:wrapPolygon edited="0">
                <wp:start x="0" y="0"/>
                <wp:lineTo x="0" y="21505"/>
                <wp:lineTo x="21458" y="21505"/>
                <wp:lineTo x="21458" y="0"/>
                <wp:lineTo x="0" y="0"/>
              </wp:wrapPolygon>
            </wp:wrapTight>
            <wp:docPr id="1179743699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158E">
        <w:t>Transmission &amp; Distribution Conference and Exposition rendezvényen, és a német TSO-k – TenneT, Amprion, 50Hertz – szakembereit is fogadta szakmai együttműködés keretében.</w:t>
      </w:r>
      <w:r w:rsidR="00C60C53">
        <w:t xml:space="preserve"> Évtizedes EU-s kutat</w:t>
      </w:r>
      <w:r w:rsidR="00F3632E">
        <w:t>ási háttére rendelkezik és a nemzetközi szakmai szervezetekben több vezető pozíciót töltenek be a tanszék kollégái.</w:t>
      </w:r>
      <w:r w:rsidRPr="00F3158E">
        <w:t xml:space="preserve"> Ez azért lényeges, mert az </w:t>
      </w:r>
      <w:proofErr w:type="gramStart"/>
      <w:r w:rsidRPr="00F3158E">
        <w:t>AI.grids</w:t>
      </w:r>
      <w:proofErr w:type="gramEnd"/>
      <w:r w:rsidRPr="00F3158E">
        <w:t xml:space="preserve">-ben éppen az ilyen, erős </w:t>
      </w:r>
      <w:r w:rsidR="00BC4384">
        <w:t xml:space="preserve">műszaki </w:t>
      </w:r>
      <w:r w:rsidRPr="00F3158E">
        <w:t>háttérrel és nemzetközi kapcsolatrendszerrel rendelkező műhelyek tudnak valódi értéket adni a use case-definíciókhoz, a validációhoz és a későbbi operatív bevezethetőséghez.</w:t>
      </w:r>
    </w:p>
    <w:p w14:paraId="0EBF0F96" w14:textId="35697BFB" w:rsidR="00F3158E" w:rsidRPr="00F3158E" w:rsidRDefault="004819D4" w:rsidP="004819D4">
      <w:pPr>
        <w:jc w:val="both"/>
      </w:pPr>
      <w:r>
        <w:t>A</w:t>
      </w:r>
      <w:r w:rsidR="00F3158E" w:rsidRPr="00F3158E">
        <w:t xml:space="preserve"> BME és a VET kutatói ebben a kezdeményezésben nem pusztán „jelen vannak”, hanem a magyar oldalról az európai villamosenergia-hálózati digitalizáció egyik élvonalbeli tudásközpontját képviselik. Erre utal a Key Player státusz, az in-kind kutatási hozzájárulás, a hivatalos projektképviselet, valamint a tanszék látható nemzetközi beágyazottsága is. Ha az </w:t>
      </w:r>
      <w:proofErr w:type="gramStart"/>
      <w:r w:rsidR="00F3158E" w:rsidRPr="00F3158E">
        <w:t>AI.grids</w:t>
      </w:r>
      <w:proofErr w:type="gramEnd"/>
      <w:r w:rsidR="00F3158E" w:rsidRPr="00F3158E">
        <w:t xml:space="preserve"> valóban az európai hálózatüzemeltetés jövőbeli közös MI-eszköztárának egyik alapköve lesz, akkor a BME és a VET részvétele azt jelenti, hogy magyar kutatói tudás is ott van ennek az új európai energiatechnológiai korszaknak a formálói között.</w:t>
      </w:r>
    </w:p>
    <w:p w14:paraId="52C5950E" w14:textId="20462A66" w:rsidR="00F3158E" w:rsidRPr="00F3158E" w:rsidRDefault="00F3158E" w:rsidP="00F3158E">
      <w:pPr>
        <w:rPr>
          <w:b/>
          <w:bCs/>
        </w:rPr>
      </w:pPr>
      <w:r w:rsidRPr="00F3158E">
        <w:rPr>
          <w:b/>
          <w:bCs/>
        </w:rPr>
        <w:t>Összegzés</w:t>
      </w:r>
    </w:p>
    <w:p w14:paraId="00F41055" w14:textId="233E37F7" w:rsidR="00F3158E" w:rsidRPr="00F3158E" w:rsidRDefault="004819D4" w:rsidP="004819D4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EFC21E" wp14:editId="5089CA04">
            <wp:simplePos x="0" y="0"/>
            <wp:positionH relativeFrom="margin">
              <wp:align>left</wp:align>
            </wp:positionH>
            <wp:positionV relativeFrom="paragraph">
              <wp:posOffset>846406</wp:posOffset>
            </wp:positionV>
            <wp:extent cx="2725420" cy="2028190"/>
            <wp:effectExtent l="0" t="0" r="0" b="0"/>
            <wp:wrapTight wrapText="bothSides">
              <wp:wrapPolygon edited="0">
                <wp:start x="0" y="0"/>
                <wp:lineTo x="0" y="21302"/>
                <wp:lineTo x="21439" y="21302"/>
                <wp:lineTo x="21439" y="0"/>
                <wp:lineTo x="0" y="0"/>
              </wp:wrapPolygon>
            </wp:wrapTight>
            <wp:docPr id="180010153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58E" w:rsidRPr="00F3158E">
        <w:t xml:space="preserve">Összességében az </w:t>
      </w:r>
      <w:proofErr w:type="gramStart"/>
      <w:r w:rsidR="00F3158E" w:rsidRPr="00F3158E">
        <w:t>AI.grids</w:t>
      </w:r>
      <w:proofErr w:type="gramEnd"/>
      <w:r w:rsidR="00F3158E" w:rsidRPr="00F3158E">
        <w:t xml:space="preserve"> kezdeményezés lényege az, hogy az európai energiapolitika „digitalizáció és MI” jelszavait lefordítja működő, közös, technikailag és jogilag is vállalható fejlesztési programmá. Célja nem kevesebb, mint egy olyan páneurópai hálózati MI-alapréteg megteremtése, amely egyszerre növeli a villamosenergia-rendszer hatékonyságát, támogatja a fenntarthatósági átmenetet, erősíti Európa technológiai versenyképességét, és közben megőrzi az adatok, a kritikus infrastruktúrák és a fejlesztési eredmények európai kontrollját. Az aláírási ceremónia ennek a folyamatnak a valódi startpisztolya volt: ekkor vált a tervből szervezett, szabályozott és végrehajtható közös európai projekt. Ebben a történetben a BME és a VET szerepe különösen fontos, mert azt mutatja, hogy a magyar villamosenergia-hálózati kutatás nem követője, hanem alakítója kíván lenni az európai fejlődés fő irányának.</w:t>
      </w:r>
    </w:p>
    <w:p w14:paraId="2C35EE50" w14:textId="64260FEF" w:rsidR="00734554" w:rsidRDefault="00734554"/>
    <w:sectPr w:rsidR="0073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8E"/>
    <w:rsid w:val="00081EEE"/>
    <w:rsid w:val="00171BCE"/>
    <w:rsid w:val="001F5C34"/>
    <w:rsid w:val="002A53DF"/>
    <w:rsid w:val="004819D4"/>
    <w:rsid w:val="006B2B62"/>
    <w:rsid w:val="00734554"/>
    <w:rsid w:val="00784CD7"/>
    <w:rsid w:val="007A51A9"/>
    <w:rsid w:val="007E1436"/>
    <w:rsid w:val="009A2E5B"/>
    <w:rsid w:val="00B21854"/>
    <w:rsid w:val="00BC4384"/>
    <w:rsid w:val="00BE5736"/>
    <w:rsid w:val="00C60C53"/>
    <w:rsid w:val="00DE399D"/>
    <w:rsid w:val="00E76D67"/>
    <w:rsid w:val="00F3158E"/>
    <w:rsid w:val="00F3632E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2A4F"/>
  <w15:chartTrackingRefBased/>
  <w15:docId w15:val="{57255C7B-B0C8-488D-B97D-803287ED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31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31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31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31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31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1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1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1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1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1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31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31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3158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3158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158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158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158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158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31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31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31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31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31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3158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3158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3158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1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3158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3158E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BC43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1272</Words>
  <Characters>8780</Characters>
  <Application>Microsoft Office Word</Application>
  <DocSecurity>4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 Dr. Vokony</dc:creator>
  <cp:keywords/>
  <dc:description/>
  <cp:lastModifiedBy>Dallos Györgyi</cp:lastModifiedBy>
  <cp:revision>2</cp:revision>
  <dcterms:created xsi:type="dcterms:W3CDTF">2026-06-08T07:12:00Z</dcterms:created>
  <dcterms:modified xsi:type="dcterms:W3CDTF">2026-06-08T07:12:00Z</dcterms:modified>
</cp:coreProperties>
</file>